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FF" w:rsidRDefault="00CB12FF" w:rsidP="00CB12FF">
      <w:pPr>
        <w:spacing w:before="83" w:line="400" w:lineRule="auto"/>
        <w:ind w:left="140" w:right="1626"/>
        <w:rPr>
          <w:b/>
          <w:sz w:val="32"/>
        </w:rPr>
      </w:pPr>
      <w:r>
        <w:rPr>
          <w:b/>
          <w:sz w:val="32"/>
        </w:rPr>
        <w:t>(Peter.D /Vaterinary Medicine    /    11 Edition    )</w:t>
      </w:r>
    </w:p>
    <w:p w:rsidR="00CB12FF" w:rsidRDefault="00CB12FF">
      <w:pPr>
        <w:pStyle w:val="BodyText"/>
        <w:spacing w:before="75"/>
        <w:ind w:left="100" w:firstLine="0"/>
      </w:pPr>
    </w:p>
    <w:p w:rsidR="00764A3B" w:rsidRDefault="00380BCA">
      <w:pPr>
        <w:pStyle w:val="BodyText"/>
        <w:spacing w:before="75"/>
        <w:ind w:left="100" w:firstLine="0"/>
      </w:pPr>
      <w:r>
        <w:t>TRAUMATIC RETICULOPERITONITIS:</w:t>
      </w:r>
    </w:p>
    <w:p w:rsidR="00764A3B" w:rsidRDefault="00380BCA">
      <w:pPr>
        <w:pStyle w:val="BodyText"/>
        <w:spacing w:before="256" w:line="276" w:lineRule="auto"/>
        <w:ind w:left="100" w:right="134" w:firstLine="398"/>
        <w:jc w:val="both"/>
      </w:pPr>
      <w:r>
        <w:t>Perforation of the wall of the reticulum by a sharp foreign body initially produces an acute local peritonitis, which may spread to cause acute diffuse peritonitis or remain localized to cause subsequent damage, including vagal indigestion and diaphragmatic hernia.</w:t>
      </w:r>
    </w:p>
    <w:p w:rsidR="00764A3B" w:rsidRDefault="00380BCA">
      <w:pPr>
        <w:pStyle w:val="BodyText"/>
        <w:spacing w:before="201" w:line="276" w:lineRule="auto"/>
        <w:ind w:left="100" w:right="49" w:firstLine="398"/>
      </w:pPr>
      <w:r>
        <w:t>Sequelae of the penetrating foreign body may proceed beyond the peritoneum and cause involvement of other organs resulting in:</w:t>
      </w:r>
    </w:p>
    <w:p w:rsidR="00764A3B" w:rsidRDefault="00380BCA">
      <w:pPr>
        <w:pStyle w:val="ListParagraph"/>
        <w:numPr>
          <w:ilvl w:val="0"/>
          <w:numId w:val="11"/>
        </w:numPr>
        <w:tabs>
          <w:tab w:val="left" w:pos="821"/>
        </w:tabs>
        <w:spacing w:before="200"/>
        <w:rPr>
          <w:sz w:val="32"/>
        </w:rPr>
      </w:pPr>
      <w:r>
        <w:rPr>
          <w:sz w:val="32"/>
        </w:rPr>
        <w:t>pericarditis,</w:t>
      </w:r>
    </w:p>
    <w:p w:rsidR="00764A3B" w:rsidRDefault="00380BCA">
      <w:pPr>
        <w:pStyle w:val="ListParagraph"/>
        <w:numPr>
          <w:ilvl w:val="0"/>
          <w:numId w:val="11"/>
        </w:numPr>
        <w:tabs>
          <w:tab w:val="left" w:pos="821"/>
        </w:tabs>
        <w:spacing w:before="55"/>
        <w:rPr>
          <w:sz w:val="32"/>
        </w:rPr>
      </w:pPr>
      <w:r>
        <w:rPr>
          <w:sz w:val="32"/>
        </w:rPr>
        <w:t>cardiac</w:t>
      </w:r>
      <w:r>
        <w:rPr>
          <w:spacing w:val="-2"/>
          <w:sz w:val="32"/>
        </w:rPr>
        <w:t xml:space="preserve"> </w:t>
      </w:r>
      <w:r>
        <w:rPr>
          <w:sz w:val="32"/>
        </w:rPr>
        <w:t>tamponade</w:t>
      </w:r>
    </w:p>
    <w:p w:rsidR="00764A3B" w:rsidRDefault="00380BCA">
      <w:pPr>
        <w:pStyle w:val="ListParagraph"/>
        <w:numPr>
          <w:ilvl w:val="0"/>
          <w:numId w:val="11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pneumonia</w:t>
      </w:r>
    </w:p>
    <w:p w:rsidR="00764A3B" w:rsidRDefault="00380BCA">
      <w:pPr>
        <w:pStyle w:val="ListParagraph"/>
        <w:numPr>
          <w:ilvl w:val="0"/>
          <w:numId w:val="11"/>
        </w:numPr>
        <w:tabs>
          <w:tab w:val="left" w:pos="821"/>
        </w:tabs>
        <w:spacing w:before="57"/>
        <w:rPr>
          <w:sz w:val="32"/>
        </w:rPr>
      </w:pPr>
      <w:r>
        <w:rPr>
          <w:sz w:val="32"/>
        </w:rPr>
        <w:t>pleurisy and mediastinitis</w:t>
      </w:r>
    </w:p>
    <w:p w:rsidR="00764A3B" w:rsidRDefault="00380BCA">
      <w:pPr>
        <w:pStyle w:val="ListParagraph"/>
        <w:numPr>
          <w:ilvl w:val="0"/>
          <w:numId w:val="11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hepatic, splenic or diaphragmatic</w:t>
      </w:r>
      <w:r>
        <w:rPr>
          <w:spacing w:val="-16"/>
          <w:sz w:val="32"/>
        </w:rPr>
        <w:t xml:space="preserve"> </w:t>
      </w:r>
      <w:r>
        <w:rPr>
          <w:sz w:val="32"/>
        </w:rPr>
        <w:t>abscess.</w:t>
      </w:r>
    </w:p>
    <w:p w:rsidR="00764A3B" w:rsidRDefault="00380BCA">
      <w:pPr>
        <w:pStyle w:val="BodyText"/>
        <w:ind w:left="0" w:firstLine="0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185980</wp:posOffset>
            </wp:positionV>
            <wp:extent cx="5453736" cy="3368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736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A3B" w:rsidRDefault="00764A3B">
      <w:pPr>
        <w:pStyle w:val="BodyText"/>
        <w:spacing w:before="4"/>
        <w:ind w:left="0" w:firstLine="0"/>
        <w:rPr>
          <w:sz w:val="27"/>
        </w:rPr>
      </w:pPr>
    </w:p>
    <w:p w:rsidR="00764A3B" w:rsidRDefault="00380BCA">
      <w:pPr>
        <w:pStyle w:val="BodyText"/>
        <w:ind w:left="100" w:firstLine="0"/>
      </w:pPr>
      <w:r>
        <w:lastRenderedPageBreak/>
        <w:t>Sequelae of traumatic perforation of the reticular wall</w:t>
      </w:r>
    </w:p>
    <w:p w:rsidR="00764A3B" w:rsidRDefault="00764A3B">
      <w:pPr>
        <w:sectPr w:rsidR="00764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40" w:right="1660" w:bottom="1200" w:left="1700" w:header="749" w:footer="1002" w:gutter="0"/>
          <w:pgNumType w:start="1"/>
          <w:cols w:space="720"/>
        </w:sectPr>
      </w:pPr>
    </w:p>
    <w:p w:rsidR="00764A3B" w:rsidRDefault="00380BCA">
      <w:pPr>
        <w:pStyle w:val="BodyText"/>
        <w:spacing w:before="75"/>
        <w:ind w:left="100" w:firstLine="0"/>
      </w:pPr>
      <w:r>
        <w:lastRenderedPageBreak/>
        <w:t>Etiology and Epidemiology :</w:t>
      </w:r>
    </w:p>
    <w:p w:rsidR="00764A3B" w:rsidRDefault="00380BCA">
      <w:pPr>
        <w:pStyle w:val="ListParagraph"/>
        <w:numPr>
          <w:ilvl w:val="0"/>
          <w:numId w:val="10"/>
        </w:numPr>
        <w:tabs>
          <w:tab w:val="left" w:pos="821"/>
          <w:tab w:val="left" w:pos="2213"/>
          <w:tab w:val="left" w:pos="2688"/>
          <w:tab w:val="left" w:pos="3914"/>
          <w:tab w:val="left" w:pos="4437"/>
          <w:tab w:val="left" w:pos="5029"/>
          <w:tab w:val="left" w:pos="6102"/>
          <w:tab w:val="left" w:pos="6766"/>
          <w:tab w:val="left" w:pos="7891"/>
          <w:tab w:val="left" w:pos="8342"/>
        </w:tabs>
        <w:spacing w:before="256" w:line="276" w:lineRule="auto"/>
        <w:ind w:right="144"/>
        <w:rPr>
          <w:sz w:val="32"/>
        </w:rPr>
      </w:pPr>
      <w:r>
        <w:rPr>
          <w:sz w:val="32"/>
        </w:rPr>
        <w:t>Ingestion</w:t>
      </w:r>
      <w:r>
        <w:rPr>
          <w:sz w:val="32"/>
        </w:rPr>
        <w:tab/>
        <w:t>of</w:t>
      </w:r>
      <w:r>
        <w:rPr>
          <w:sz w:val="32"/>
        </w:rPr>
        <w:tab/>
        <w:t>metallic</w:t>
      </w:r>
      <w:r>
        <w:rPr>
          <w:sz w:val="32"/>
        </w:rPr>
        <w:tab/>
        <w:t>by</w:t>
      </w:r>
      <w:r>
        <w:rPr>
          <w:sz w:val="32"/>
        </w:rPr>
        <w:tab/>
        <w:t>the</w:t>
      </w:r>
      <w:r>
        <w:rPr>
          <w:sz w:val="32"/>
        </w:rPr>
        <w:tab/>
        <w:t>animal</w:t>
      </w:r>
      <w:r>
        <w:rPr>
          <w:sz w:val="32"/>
        </w:rPr>
        <w:tab/>
        <w:t>and</w:t>
      </w:r>
      <w:r>
        <w:rPr>
          <w:sz w:val="32"/>
        </w:rPr>
        <w:tab/>
        <w:t>located</w:t>
      </w:r>
      <w:r>
        <w:rPr>
          <w:sz w:val="32"/>
        </w:rPr>
        <w:tab/>
        <w:t>in</w:t>
      </w:r>
      <w:r>
        <w:rPr>
          <w:sz w:val="32"/>
        </w:rPr>
        <w:tab/>
        <w:t>the reticulum</w:t>
      </w:r>
    </w:p>
    <w:p w:rsidR="00764A3B" w:rsidRDefault="00380BCA">
      <w:pPr>
        <w:pStyle w:val="ListParagraph"/>
        <w:numPr>
          <w:ilvl w:val="0"/>
          <w:numId w:val="10"/>
        </w:numPr>
        <w:tabs>
          <w:tab w:val="left" w:pos="821"/>
        </w:tabs>
        <w:spacing w:line="276" w:lineRule="auto"/>
        <w:ind w:right="144"/>
        <w:rPr>
          <w:sz w:val="32"/>
        </w:rPr>
      </w:pPr>
      <w:r>
        <w:rPr>
          <w:sz w:val="32"/>
        </w:rPr>
        <w:t>Penetration of reticulum by foreign objects such as nails and pieces of wire, including tire</w:t>
      </w:r>
      <w:r>
        <w:rPr>
          <w:spacing w:val="-2"/>
          <w:sz w:val="32"/>
        </w:rPr>
        <w:t xml:space="preserve"> </w:t>
      </w:r>
      <w:r>
        <w:rPr>
          <w:sz w:val="32"/>
        </w:rPr>
        <w:t>wire</w:t>
      </w:r>
    </w:p>
    <w:p w:rsidR="00764A3B" w:rsidRDefault="00380BCA">
      <w:pPr>
        <w:pStyle w:val="ListParagraph"/>
        <w:numPr>
          <w:ilvl w:val="0"/>
          <w:numId w:val="10"/>
        </w:numPr>
        <w:tabs>
          <w:tab w:val="left" w:pos="821"/>
        </w:tabs>
        <w:rPr>
          <w:sz w:val="32"/>
        </w:rPr>
      </w:pPr>
      <w:r>
        <w:rPr>
          <w:sz w:val="32"/>
        </w:rPr>
        <w:t>Adult dairy cattle are most commonly</w:t>
      </w:r>
      <w:r>
        <w:rPr>
          <w:spacing w:val="1"/>
          <w:sz w:val="32"/>
        </w:rPr>
        <w:t xml:space="preserve"> </w:t>
      </w:r>
      <w:r>
        <w:rPr>
          <w:sz w:val="32"/>
        </w:rPr>
        <w:t>affected</w:t>
      </w:r>
    </w:p>
    <w:p w:rsidR="00764A3B" w:rsidRDefault="00380BCA">
      <w:pPr>
        <w:pStyle w:val="ListParagraph"/>
        <w:numPr>
          <w:ilvl w:val="0"/>
          <w:numId w:val="10"/>
        </w:numPr>
        <w:tabs>
          <w:tab w:val="left" w:pos="821"/>
        </w:tabs>
        <w:spacing w:before="54" w:line="408" w:lineRule="auto"/>
        <w:ind w:left="100" w:right="2886" w:firstLine="360"/>
        <w:rPr>
          <w:sz w:val="32"/>
        </w:rPr>
      </w:pPr>
      <w:r>
        <w:rPr>
          <w:sz w:val="32"/>
        </w:rPr>
        <w:t>The incidence is low in sheep and goats. Pathogenesis: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auto"/>
        <w:ind w:right="145"/>
        <w:rPr>
          <w:sz w:val="32"/>
        </w:rPr>
      </w:pPr>
      <w:r>
        <w:rPr>
          <w:sz w:val="32"/>
        </w:rPr>
        <w:t>Lack of oral discrimination by cattle leads to the ingestion of foreign bodies that would be rejected by other</w:t>
      </w:r>
      <w:r>
        <w:rPr>
          <w:spacing w:val="-7"/>
          <w:sz w:val="32"/>
        </w:rPr>
        <w:t xml:space="preserve"> </w:t>
      </w:r>
      <w:r>
        <w:rPr>
          <w:sz w:val="32"/>
        </w:rPr>
        <w:t>species.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auto"/>
        <w:ind w:right="145"/>
        <w:rPr>
          <w:sz w:val="32"/>
        </w:rPr>
      </w:pPr>
      <w:r>
        <w:rPr>
          <w:sz w:val="32"/>
        </w:rPr>
        <w:t>Swallowed foreign bodies may lodge in the upper esophagus and cause</w:t>
      </w:r>
      <w:r>
        <w:rPr>
          <w:spacing w:val="-2"/>
          <w:sz w:val="32"/>
        </w:rPr>
        <w:t xml:space="preserve"> </w:t>
      </w:r>
      <w:r>
        <w:rPr>
          <w:sz w:val="32"/>
        </w:rPr>
        <w:t>obstruction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rPr>
          <w:sz w:val="32"/>
        </w:rPr>
      </w:pPr>
      <w:r>
        <w:rPr>
          <w:sz w:val="32"/>
        </w:rPr>
        <w:t>or in the esophageal groove and cause</w:t>
      </w:r>
      <w:r>
        <w:rPr>
          <w:spacing w:val="-8"/>
          <w:sz w:val="32"/>
        </w:rPr>
        <w:t xml:space="preserve"> </w:t>
      </w:r>
      <w:r>
        <w:rPr>
          <w:sz w:val="32"/>
        </w:rPr>
        <w:t>vomiting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52"/>
        <w:rPr>
          <w:sz w:val="32"/>
        </w:rPr>
      </w:pPr>
      <w:r>
        <w:rPr>
          <w:sz w:val="32"/>
        </w:rPr>
        <w:t>in most instances they pass to the reticulum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54" w:line="276" w:lineRule="auto"/>
        <w:ind w:right="143"/>
        <w:rPr>
          <w:sz w:val="32"/>
        </w:rPr>
      </w:pPr>
      <w:r>
        <w:rPr>
          <w:sz w:val="32"/>
        </w:rPr>
        <w:t>honeycomb-like structure of the reticulum provides many sites for fixation of the foreign</w:t>
      </w:r>
      <w:r>
        <w:rPr>
          <w:spacing w:val="-4"/>
          <w:sz w:val="32"/>
        </w:rPr>
        <w:t xml:space="preserve"> </w:t>
      </w:r>
      <w:r>
        <w:rPr>
          <w:sz w:val="32"/>
        </w:rPr>
        <w:t>body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1" w:line="276" w:lineRule="auto"/>
        <w:ind w:right="137"/>
        <w:rPr>
          <w:sz w:val="32"/>
        </w:rPr>
      </w:pPr>
      <w:r>
        <w:rPr>
          <w:sz w:val="32"/>
        </w:rPr>
        <w:t>contractions of the reticulum are sufficient to push a sharp- pointed object through the</w:t>
      </w:r>
      <w:r>
        <w:rPr>
          <w:spacing w:val="-1"/>
          <w:sz w:val="32"/>
        </w:rPr>
        <w:t xml:space="preserve"> </w:t>
      </w:r>
      <w:r>
        <w:rPr>
          <w:sz w:val="32"/>
        </w:rPr>
        <w:t>wall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acute local</w:t>
      </w:r>
      <w:r>
        <w:rPr>
          <w:spacing w:val="-3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fibrous</w:t>
      </w:r>
      <w:r>
        <w:rPr>
          <w:spacing w:val="-2"/>
          <w:sz w:val="32"/>
        </w:rPr>
        <w:t xml:space="preserve"> </w:t>
      </w:r>
      <w:r>
        <w:rPr>
          <w:sz w:val="32"/>
        </w:rPr>
        <w:t>adhesions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821"/>
        </w:tabs>
        <w:spacing w:before="55" w:line="278" w:lineRule="auto"/>
        <w:ind w:right="140"/>
        <w:rPr>
          <w:sz w:val="32"/>
        </w:rPr>
      </w:pPr>
      <w:r>
        <w:rPr>
          <w:sz w:val="32"/>
        </w:rPr>
        <w:t>motility of the reticulum is restored and the animal may recover</w:t>
      </w:r>
      <w:r>
        <w:rPr>
          <w:spacing w:val="-3"/>
          <w:sz w:val="32"/>
        </w:rPr>
        <w:t xml:space="preserve"> </w:t>
      </w:r>
      <w:r>
        <w:rPr>
          <w:sz w:val="32"/>
        </w:rPr>
        <w:t>fully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1541"/>
        </w:tabs>
        <w:spacing w:line="276" w:lineRule="auto"/>
        <w:ind w:right="137"/>
        <w:jc w:val="both"/>
        <w:rPr>
          <w:sz w:val="32"/>
        </w:rPr>
      </w:pPr>
      <w:r>
        <w:rPr>
          <w:sz w:val="32"/>
        </w:rPr>
        <w:t>reticulum becomes adherent to varying degrees to the abdominal floor and diaphragm this results in decreased reticular motility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ind w:left="1540" w:hanging="1080"/>
        <w:rPr>
          <w:sz w:val="32"/>
        </w:rPr>
      </w:pPr>
      <w:r>
        <w:rPr>
          <w:sz w:val="32"/>
        </w:rPr>
        <w:t>Persistent local</w:t>
      </w:r>
      <w:r>
        <w:rPr>
          <w:spacing w:val="-3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0"/>
          <w:numId w:val="9"/>
        </w:numPr>
        <w:tabs>
          <w:tab w:val="left" w:pos="1541"/>
        </w:tabs>
        <w:spacing w:before="49" w:line="276" w:lineRule="auto"/>
        <w:ind w:right="143"/>
        <w:jc w:val="both"/>
        <w:rPr>
          <w:sz w:val="32"/>
        </w:rPr>
      </w:pPr>
      <w:r>
        <w:rPr>
          <w:sz w:val="32"/>
        </w:rPr>
        <w:t>Spread of the inflammation causing generalized or diffuse peritonitis may occur in cows that calve at the time of perforation and in cattle that are forced to</w:t>
      </w:r>
      <w:r>
        <w:rPr>
          <w:spacing w:val="-3"/>
          <w:sz w:val="32"/>
        </w:rPr>
        <w:t xml:space="preserve"> </w:t>
      </w:r>
      <w:r>
        <w:rPr>
          <w:sz w:val="32"/>
        </w:rPr>
        <w:t>exercise</w:t>
      </w:r>
    </w:p>
    <w:p w:rsidR="00764A3B" w:rsidRDefault="00764A3B">
      <w:pPr>
        <w:spacing w:line="276" w:lineRule="auto"/>
        <w:jc w:val="both"/>
        <w:rPr>
          <w:sz w:val="32"/>
        </w:rPr>
        <w:sectPr w:rsidR="00764A3B">
          <w:pgSz w:w="12240" w:h="15840"/>
          <w:pgMar w:top="1340" w:right="1660" w:bottom="1200" w:left="1700" w:header="749" w:footer="1002" w:gutter="0"/>
          <w:cols w:space="720"/>
        </w:sectPr>
      </w:pPr>
    </w:p>
    <w:p w:rsidR="00764A3B" w:rsidRDefault="00380BCA">
      <w:pPr>
        <w:pStyle w:val="BodyText"/>
        <w:spacing w:before="75"/>
        <w:ind w:left="100" w:firstLine="0"/>
      </w:pPr>
      <w:r>
        <w:lastRenderedPageBreak/>
        <w:t>Clinical Findings:</w:t>
      </w:r>
    </w:p>
    <w:p w:rsidR="00764A3B" w:rsidRDefault="00380BCA">
      <w:pPr>
        <w:pStyle w:val="BodyText"/>
        <w:spacing w:before="256"/>
        <w:ind w:left="460" w:firstLine="0"/>
      </w:pPr>
      <w:r>
        <w:t>1) acute local peritonitis: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before="55" w:line="276" w:lineRule="auto"/>
        <w:ind w:right="142"/>
        <w:rPr>
          <w:sz w:val="32"/>
        </w:rPr>
      </w:pPr>
      <w:r>
        <w:rPr>
          <w:sz w:val="32"/>
        </w:rPr>
        <w:t>Sudden with complete anorexia and a marked drop in milk yield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Subacute abdominal</w:t>
      </w:r>
      <w:r>
        <w:rPr>
          <w:spacing w:val="-3"/>
          <w:sz w:val="32"/>
        </w:rPr>
        <w:t xml:space="preserve"> </w:t>
      </w:r>
      <w:r>
        <w:rPr>
          <w:sz w:val="32"/>
        </w:rPr>
        <w:t>pain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reluctant to move and does so slowly.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  <w:tab w:val="left" w:pos="6542"/>
        </w:tabs>
        <w:spacing w:before="55" w:line="278" w:lineRule="auto"/>
        <w:ind w:right="134"/>
        <w:rPr>
          <w:sz w:val="32"/>
        </w:rPr>
      </w:pPr>
      <w:r>
        <w:rPr>
          <w:sz w:val="32"/>
        </w:rPr>
        <w:t>Walking,   particularly   downhill,</w:t>
      </w:r>
      <w:r>
        <w:rPr>
          <w:spacing w:val="10"/>
          <w:sz w:val="32"/>
        </w:rPr>
        <w:t xml:space="preserve"> </w:t>
      </w:r>
      <w:r>
        <w:rPr>
          <w:sz w:val="32"/>
        </w:rPr>
        <w:t xml:space="preserve">is </w:t>
      </w:r>
      <w:r>
        <w:rPr>
          <w:spacing w:val="32"/>
          <w:sz w:val="32"/>
        </w:rPr>
        <w:t xml:space="preserve"> </w:t>
      </w:r>
      <w:r>
        <w:rPr>
          <w:sz w:val="32"/>
        </w:rPr>
        <w:t>often</w:t>
      </w:r>
      <w:r>
        <w:rPr>
          <w:sz w:val="32"/>
        </w:rPr>
        <w:tab/>
        <w:t>accompanied by grunting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line="362" w:lineRule="exact"/>
        <w:rPr>
          <w:sz w:val="32"/>
        </w:rPr>
      </w:pPr>
      <w:r>
        <w:rPr>
          <w:sz w:val="32"/>
        </w:rPr>
        <w:t>Arching of the</w:t>
      </w:r>
      <w:r>
        <w:rPr>
          <w:spacing w:val="-5"/>
          <w:sz w:val="32"/>
        </w:rPr>
        <w:t xml:space="preserve"> </w:t>
      </w:r>
      <w:r>
        <w:rPr>
          <w:sz w:val="32"/>
        </w:rPr>
        <w:t>back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Defecation and urination cause</w:t>
      </w:r>
      <w:r>
        <w:rPr>
          <w:spacing w:val="1"/>
          <w:sz w:val="32"/>
        </w:rPr>
        <w:t xml:space="preserve"> </w:t>
      </w:r>
      <w:r>
        <w:rPr>
          <w:sz w:val="32"/>
        </w:rPr>
        <w:t>pain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before="57"/>
        <w:rPr>
          <w:sz w:val="32"/>
        </w:rPr>
      </w:pPr>
      <w:r>
        <w:rPr>
          <w:sz w:val="32"/>
        </w:rPr>
        <w:t>A moderate systemic reaction is common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  <w:tab w:val="left" w:pos="2536"/>
          <w:tab w:val="left" w:pos="2958"/>
          <w:tab w:val="left" w:pos="3987"/>
          <w:tab w:val="left" w:pos="4658"/>
          <w:tab w:val="left" w:pos="6662"/>
          <w:tab w:val="left" w:pos="8343"/>
        </w:tabs>
        <w:spacing w:before="54" w:line="276" w:lineRule="auto"/>
        <w:ind w:right="144"/>
        <w:rPr>
          <w:sz w:val="32"/>
        </w:rPr>
      </w:pPr>
      <w:r>
        <w:rPr>
          <w:sz w:val="32"/>
        </w:rPr>
        <w:t>Rumination</w:t>
      </w:r>
      <w:r>
        <w:rPr>
          <w:sz w:val="32"/>
        </w:rPr>
        <w:tab/>
        <w:t>is</w:t>
      </w:r>
      <w:r>
        <w:rPr>
          <w:sz w:val="32"/>
        </w:rPr>
        <w:tab/>
        <w:t>absent</w:t>
      </w:r>
      <w:r>
        <w:rPr>
          <w:sz w:val="32"/>
        </w:rPr>
        <w:tab/>
        <w:t>and</w:t>
      </w:r>
      <w:r>
        <w:rPr>
          <w:sz w:val="32"/>
        </w:rPr>
        <w:tab/>
        <w:t>reticulorumen</w:t>
      </w:r>
      <w:r>
        <w:rPr>
          <w:sz w:val="32"/>
        </w:rPr>
        <w:tab/>
        <w:t>movements</w:t>
      </w:r>
      <w:r>
        <w:rPr>
          <w:sz w:val="32"/>
        </w:rPr>
        <w:tab/>
        <w:t>are markedly depressed and usually</w:t>
      </w:r>
      <w:r>
        <w:rPr>
          <w:spacing w:val="-4"/>
          <w:sz w:val="32"/>
        </w:rPr>
        <w:t xml:space="preserve"> </w:t>
      </w:r>
      <w:r>
        <w:rPr>
          <w:sz w:val="32"/>
        </w:rPr>
        <w:t>absent</w:t>
      </w:r>
    </w:p>
    <w:p w:rsidR="00764A3B" w:rsidRDefault="00380BCA">
      <w:pPr>
        <w:pStyle w:val="ListParagraph"/>
        <w:numPr>
          <w:ilvl w:val="0"/>
          <w:numId w:val="8"/>
        </w:numPr>
        <w:tabs>
          <w:tab w:val="left" w:pos="821"/>
        </w:tabs>
        <w:spacing w:line="278" w:lineRule="auto"/>
        <w:ind w:right="141"/>
        <w:rPr>
          <w:sz w:val="32"/>
        </w:rPr>
      </w:pPr>
      <w:r>
        <w:rPr>
          <w:sz w:val="32"/>
        </w:rPr>
        <w:t>Pain can be elicited by deep palpation of the abdominal wall just caudal to the</w:t>
      </w:r>
      <w:r>
        <w:rPr>
          <w:spacing w:val="-4"/>
          <w:sz w:val="32"/>
        </w:rPr>
        <w:t xml:space="preserve"> </w:t>
      </w:r>
      <w:r>
        <w:rPr>
          <w:sz w:val="32"/>
        </w:rPr>
        <w:t>xiphisternum</w:t>
      </w:r>
    </w:p>
    <w:p w:rsidR="00764A3B" w:rsidRDefault="00380BCA">
      <w:pPr>
        <w:pStyle w:val="ListParagraph"/>
        <w:numPr>
          <w:ilvl w:val="0"/>
          <w:numId w:val="7"/>
        </w:numPr>
        <w:tabs>
          <w:tab w:val="left" w:pos="821"/>
        </w:tabs>
        <w:spacing w:line="362" w:lineRule="exact"/>
        <w:rPr>
          <w:sz w:val="32"/>
        </w:rPr>
      </w:pPr>
      <w:r>
        <w:rPr>
          <w:sz w:val="32"/>
        </w:rPr>
        <w:t>Chronic local</w:t>
      </w:r>
      <w:r>
        <w:rPr>
          <w:spacing w:val="-3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541"/>
        </w:tabs>
        <w:spacing w:before="53" w:line="276" w:lineRule="auto"/>
        <w:ind w:right="144"/>
        <w:rPr>
          <w:sz w:val="32"/>
        </w:rPr>
      </w:pPr>
      <w:r>
        <w:rPr>
          <w:sz w:val="32"/>
        </w:rPr>
        <w:t>the appetite and milk yield do not return to normal after prolonged therapy with</w:t>
      </w:r>
      <w:r>
        <w:rPr>
          <w:spacing w:val="-3"/>
          <w:sz w:val="32"/>
        </w:rPr>
        <w:t xml:space="preserve"> </w:t>
      </w:r>
      <w:r>
        <w:rPr>
          <w:sz w:val="32"/>
        </w:rPr>
        <w:t>antimicrobials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541"/>
        </w:tabs>
        <w:spacing w:before="1"/>
        <w:rPr>
          <w:sz w:val="32"/>
        </w:rPr>
      </w:pPr>
      <w:r>
        <w:rPr>
          <w:sz w:val="32"/>
        </w:rPr>
        <w:t>The body condition is usually</w:t>
      </w:r>
      <w:r>
        <w:rPr>
          <w:spacing w:val="-7"/>
          <w:sz w:val="32"/>
        </w:rPr>
        <w:t xml:space="preserve"> </w:t>
      </w:r>
      <w:r>
        <w:rPr>
          <w:sz w:val="32"/>
        </w:rPr>
        <w:t>poor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541"/>
          <w:tab w:val="left" w:pos="2135"/>
          <w:tab w:val="left" w:pos="2996"/>
          <w:tab w:val="left" w:pos="3588"/>
          <w:tab w:val="left" w:pos="4806"/>
          <w:tab w:val="left" w:pos="5259"/>
          <w:tab w:val="left" w:pos="6506"/>
          <w:tab w:val="left" w:pos="7172"/>
          <w:tab w:val="left" w:pos="8014"/>
          <w:tab w:val="left" w:pos="8439"/>
        </w:tabs>
        <w:spacing w:before="54" w:line="276" w:lineRule="auto"/>
        <w:ind w:right="137"/>
        <w:rPr>
          <w:sz w:val="32"/>
        </w:rPr>
      </w:pPr>
      <w:r>
        <w:rPr>
          <w:sz w:val="32"/>
        </w:rPr>
        <w:t>the</w:t>
      </w:r>
      <w:r>
        <w:rPr>
          <w:sz w:val="32"/>
        </w:rPr>
        <w:tab/>
        <w:t>feces</w:t>
      </w:r>
      <w:r>
        <w:rPr>
          <w:sz w:val="32"/>
        </w:rPr>
        <w:tab/>
        <w:t>are</w:t>
      </w:r>
      <w:r>
        <w:rPr>
          <w:sz w:val="32"/>
        </w:rPr>
        <w:tab/>
        <w:t>reduced</w:t>
      </w:r>
      <w:r>
        <w:rPr>
          <w:sz w:val="32"/>
        </w:rPr>
        <w:tab/>
        <w:t>in</w:t>
      </w:r>
      <w:r>
        <w:rPr>
          <w:sz w:val="32"/>
        </w:rPr>
        <w:tab/>
        <w:t>quantity</w:t>
      </w:r>
      <w:r>
        <w:rPr>
          <w:sz w:val="32"/>
        </w:rPr>
        <w:tab/>
        <w:t>and</w:t>
      </w:r>
      <w:r>
        <w:rPr>
          <w:sz w:val="32"/>
        </w:rPr>
        <w:tab/>
        <w:t>there</w:t>
      </w:r>
      <w:r>
        <w:rPr>
          <w:sz w:val="32"/>
        </w:rPr>
        <w:tab/>
        <w:t>is</w:t>
      </w:r>
      <w:r>
        <w:rPr>
          <w:sz w:val="32"/>
        </w:rPr>
        <w:tab/>
        <w:t>an</w:t>
      </w:r>
      <w:r>
        <w:rPr>
          <w:w w:val="99"/>
          <w:sz w:val="32"/>
        </w:rPr>
        <w:t xml:space="preserve"> </w:t>
      </w:r>
      <w:r>
        <w:rPr>
          <w:sz w:val="32"/>
        </w:rPr>
        <w:t>increase in undigested</w:t>
      </w:r>
      <w:r>
        <w:rPr>
          <w:spacing w:val="-1"/>
          <w:sz w:val="32"/>
        </w:rPr>
        <w:t xml:space="preserve"> </w:t>
      </w:r>
      <w:r>
        <w:rPr>
          <w:sz w:val="32"/>
        </w:rPr>
        <w:t>particles</w:t>
      </w:r>
    </w:p>
    <w:p w:rsidR="00764A3B" w:rsidRDefault="00380BCA">
      <w:pPr>
        <w:pStyle w:val="ListParagraph"/>
        <w:numPr>
          <w:ilvl w:val="0"/>
          <w:numId w:val="7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Acute diffuse (generalized)</w:t>
      </w:r>
      <w:r>
        <w:rPr>
          <w:spacing w:val="-2"/>
          <w:sz w:val="32"/>
        </w:rPr>
        <w:t xml:space="preserve"> </w:t>
      </w:r>
      <w:r>
        <w:rPr>
          <w:sz w:val="32"/>
        </w:rPr>
        <w:t>peritonitis: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55" w:line="276" w:lineRule="auto"/>
        <w:ind w:left="1706" w:right="142"/>
        <w:rPr>
          <w:sz w:val="32"/>
        </w:rPr>
      </w:pPr>
      <w:r>
        <w:rPr>
          <w:sz w:val="32"/>
        </w:rPr>
        <w:t>profound toxemia within a day or two of the onset of local</w:t>
      </w:r>
      <w:r>
        <w:rPr>
          <w:spacing w:val="-1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1"/>
        <w:ind w:left="1706"/>
        <w:rPr>
          <w:sz w:val="32"/>
        </w:rPr>
      </w:pPr>
      <w:r>
        <w:rPr>
          <w:sz w:val="32"/>
        </w:rPr>
        <w:t>Alimentary tract motility is</w:t>
      </w:r>
      <w:r>
        <w:rPr>
          <w:spacing w:val="5"/>
          <w:sz w:val="32"/>
        </w:rPr>
        <w:t xml:space="preserve"> </w:t>
      </w:r>
      <w:r>
        <w:rPr>
          <w:sz w:val="32"/>
        </w:rPr>
        <w:t>reduced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55"/>
        <w:ind w:left="1706"/>
        <w:rPr>
          <w:sz w:val="32"/>
        </w:rPr>
      </w:pPr>
      <w:r>
        <w:rPr>
          <w:sz w:val="32"/>
        </w:rPr>
        <w:t>mental depression is marked</w:t>
      </w:r>
      <w:r>
        <w:rPr>
          <w:spacing w:val="5"/>
          <w:sz w:val="32"/>
        </w:rPr>
        <w:t xml:space="preserve"> </w:t>
      </w:r>
      <w:r>
        <w:rPr>
          <w:sz w:val="32"/>
        </w:rPr>
        <w:t>t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57" w:line="276" w:lineRule="auto"/>
        <w:ind w:left="1706" w:right="137"/>
        <w:rPr>
          <w:sz w:val="32"/>
        </w:rPr>
      </w:pPr>
      <w:r>
        <w:rPr>
          <w:sz w:val="32"/>
        </w:rPr>
        <w:t>he temperature is elevated or subnormal in severe cases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line="366" w:lineRule="exact"/>
        <w:ind w:left="1706"/>
        <w:rPr>
          <w:sz w:val="32"/>
        </w:rPr>
      </w:pPr>
      <w:r>
        <w:rPr>
          <w:sz w:val="32"/>
        </w:rPr>
        <w:t>heart rate increases to</w:t>
      </w:r>
      <w:r>
        <w:rPr>
          <w:spacing w:val="-3"/>
          <w:sz w:val="32"/>
        </w:rPr>
        <w:t xml:space="preserve"> </w:t>
      </w:r>
      <w:r>
        <w:rPr>
          <w:sz w:val="32"/>
        </w:rPr>
        <w:t>100-120/min</w:t>
      </w:r>
    </w:p>
    <w:p w:rsidR="00764A3B" w:rsidRDefault="00764A3B">
      <w:pPr>
        <w:spacing w:line="366" w:lineRule="exact"/>
        <w:rPr>
          <w:sz w:val="32"/>
        </w:rPr>
        <w:sectPr w:rsidR="00764A3B">
          <w:pgSz w:w="12240" w:h="15840"/>
          <w:pgMar w:top="1340" w:right="1660" w:bottom="1200" w:left="1700" w:header="749" w:footer="1002" w:gutter="0"/>
          <w:cols w:space="720"/>
        </w:sectPr>
      </w:pP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75" w:line="276" w:lineRule="auto"/>
        <w:ind w:left="1706" w:right="143"/>
        <w:rPr>
          <w:sz w:val="32"/>
        </w:rPr>
      </w:pPr>
      <w:r>
        <w:rPr>
          <w:sz w:val="32"/>
        </w:rPr>
        <w:lastRenderedPageBreak/>
        <w:t xml:space="preserve">painful grunt </w:t>
      </w:r>
      <w:r>
        <w:rPr>
          <w:spacing w:val="-3"/>
          <w:sz w:val="32"/>
        </w:rPr>
        <w:t xml:space="preserve">may </w:t>
      </w:r>
      <w:r>
        <w:rPr>
          <w:sz w:val="32"/>
        </w:rPr>
        <w:t>be elicited by deep digital palpation at almost any location over the ventral abdominal</w:t>
      </w:r>
      <w:r>
        <w:rPr>
          <w:spacing w:val="-21"/>
          <w:sz w:val="32"/>
        </w:rPr>
        <w:t xml:space="preserve"> </w:t>
      </w:r>
      <w:r>
        <w:rPr>
          <w:sz w:val="32"/>
        </w:rPr>
        <w:t>wall</w:t>
      </w:r>
    </w:p>
    <w:p w:rsidR="00764A3B" w:rsidRDefault="00380BCA">
      <w:pPr>
        <w:pStyle w:val="ListParagraph"/>
        <w:numPr>
          <w:ilvl w:val="1"/>
          <w:numId w:val="7"/>
        </w:numPr>
        <w:tabs>
          <w:tab w:val="left" w:pos="1706"/>
        </w:tabs>
        <w:spacing w:before="1" w:line="405" w:lineRule="auto"/>
        <w:ind w:left="100" w:right="3621" w:firstLine="1246"/>
        <w:rPr>
          <w:sz w:val="32"/>
        </w:rPr>
      </w:pPr>
      <w:r>
        <w:rPr>
          <w:sz w:val="32"/>
        </w:rPr>
        <w:t>recumbency and</w:t>
      </w:r>
      <w:r>
        <w:rPr>
          <w:spacing w:val="-9"/>
          <w:sz w:val="32"/>
        </w:rPr>
        <w:t xml:space="preserve"> </w:t>
      </w:r>
      <w:r>
        <w:rPr>
          <w:sz w:val="32"/>
        </w:rPr>
        <w:t>depression Clinical</w:t>
      </w:r>
      <w:r>
        <w:rPr>
          <w:spacing w:val="-2"/>
          <w:sz w:val="32"/>
        </w:rPr>
        <w:t xml:space="preserve"> </w:t>
      </w:r>
      <w:r>
        <w:rPr>
          <w:sz w:val="32"/>
        </w:rPr>
        <w:t>Pathology</w:t>
      </w:r>
    </w:p>
    <w:p w:rsidR="00764A3B" w:rsidRDefault="00380BCA">
      <w:pPr>
        <w:pStyle w:val="ListParagraph"/>
        <w:numPr>
          <w:ilvl w:val="0"/>
          <w:numId w:val="6"/>
        </w:numPr>
        <w:tabs>
          <w:tab w:val="left" w:pos="821"/>
        </w:tabs>
        <w:spacing w:before="2"/>
        <w:rPr>
          <w:sz w:val="32"/>
        </w:rPr>
      </w:pPr>
      <w:r>
        <w:rPr>
          <w:sz w:val="32"/>
        </w:rPr>
        <w:t>Hemogram:</w:t>
      </w:r>
    </w:p>
    <w:p w:rsidR="00764A3B" w:rsidRDefault="00380BCA">
      <w:pPr>
        <w:pStyle w:val="ListParagraph"/>
        <w:numPr>
          <w:ilvl w:val="1"/>
          <w:numId w:val="6"/>
        </w:numPr>
        <w:tabs>
          <w:tab w:val="left" w:pos="1615"/>
        </w:tabs>
        <w:spacing w:before="55"/>
        <w:ind w:firstLine="1154"/>
        <w:rPr>
          <w:sz w:val="32"/>
        </w:rPr>
      </w:pPr>
      <w:r>
        <w:rPr>
          <w:sz w:val="32"/>
        </w:rPr>
        <w:t>In acute local</w:t>
      </w:r>
      <w:r>
        <w:rPr>
          <w:spacing w:val="-4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2"/>
          <w:numId w:val="6"/>
        </w:numPr>
        <w:tabs>
          <w:tab w:val="left" w:pos="1615"/>
        </w:tabs>
        <w:spacing w:before="56"/>
        <w:rPr>
          <w:sz w:val="32"/>
        </w:rPr>
      </w:pPr>
      <w:r>
        <w:rPr>
          <w:sz w:val="32"/>
        </w:rPr>
        <w:t>a neutrophilia (mature neutrophils above</w:t>
      </w:r>
      <w:r>
        <w:rPr>
          <w:spacing w:val="-9"/>
          <w:sz w:val="32"/>
        </w:rPr>
        <w:t xml:space="preserve"> </w:t>
      </w:r>
      <w:r>
        <w:rPr>
          <w:sz w:val="32"/>
        </w:rPr>
        <w:t>400/μL)</w:t>
      </w:r>
    </w:p>
    <w:p w:rsidR="00764A3B" w:rsidRDefault="00380BCA">
      <w:pPr>
        <w:pStyle w:val="ListParagraph"/>
        <w:numPr>
          <w:ilvl w:val="2"/>
          <w:numId w:val="6"/>
        </w:numPr>
        <w:tabs>
          <w:tab w:val="left" w:pos="1615"/>
          <w:tab w:val="left" w:pos="2350"/>
          <w:tab w:val="left" w:pos="3230"/>
          <w:tab w:val="left" w:pos="4868"/>
          <w:tab w:val="left" w:pos="6619"/>
          <w:tab w:val="left" w:pos="7693"/>
        </w:tabs>
        <w:spacing w:before="55" w:line="276" w:lineRule="auto"/>
        <w:ind w:right="142"/>
        <w:rPr>
          <w:sz w:val="32"/>
        </w:rPr>
      </w:pPr>
      <w:r>
        <w:rPr>
          <w:sz w:val="32"/>
        </w:rPr>
        <w:t>left</w:t>
      </w:r>
      <w:r>
        <w:rPr>
          <w:sz w:val="32"/>
        </w:rPr>
        <w:tab/>
        <w:t>shift</w:t>
      </w:r>
      <w:r>
        <w:rPr>
          <w:sz w:val="32"/>
        </w:rPr>
        <w:tab/>
        <w:t>(immature</w:t>
      </w:r>
      <w:r>
        <w:rPr>
          <w:sz w:val="32"/>
        </w:rPr>
        <w:tab/>
        <w:t>neutrophils</w:t>
      </w:r>
      <w:r>
        <w:rPr>
          <w:sz w:val="32"/>
        </w:rPr>
        <w:tab/>
        <w:t>above</w:t>
      </w:r>
      <w:r>
        <w:rPr>
          <w:sz w:val="32"/>
        </w:rPr>
        <w:tab/>
        <w:t>200/μL) regenerative left</w:t>
      </w:r>
      <w:r>
        <w:rPr>
          <w:spacing w:val="-3"/>
          <w:sz w:val="32"/>
        </w:rPr>
        <w:t xml:space="preserve"> </w:t>
      </w:r>
      <w:r>
        <w:rPr>
          <w:sz w:val="32"/>
        </w:rPr>
        <w:t>shift</w:t>
      </w:r>
    </w:p>
    <w:p w:rsidR="00764A3B" w:rsidRDefault="00380BCA">
      <w:pPr>
        <w:pStyle w:val="ListParagraph"/>
        <w:numPr>
          <w:ilvl w:val="1"/>
          <w:numId w:val="6"/>
        </w:numPr>
        <w:tabs>
          <w:tab w:val="left" w:pos="1615"/>
        </w:tabs>
        <w:spacing w:before="1"/>
        <w:ind w:firstLine="1154"/>
        <w:rPr>
          <w:sz w:val="32"/>
        </w:rPr>
      </w:pPr>
      <w:r>
        <w:rPr>
          <w:sz w:val="32"/>
        </w:rPr>
        <w:t>In acute diffuse</w:t>
      </w:r>
      <w:r>
        <w:rPr>
          <w:spacing w:val="-4"/>
          <w:sz w:val="32"/>
        </w:rPr>
        <w:t xml:space="preserve"> </w:t>
      </w:r>
      <w:r>
        <w:rPr>
          <w:sz w:val="32"/>
        </w:rPr>
        <w:t>peritonitis</w:t>
      </w:r>
    </w:p>
    <w:p w:rsidR="00764A3B" w:rsidRDefault="00380BCA">
      <w:pPr>
        <w:pStyle w:val="ListParagraph"/>
        <w:numPr>
          <w:ilvl w:val="2"/>
          <w:numId w:val="6"/>
        </w:numPr>
        <w:tabs>
          <w:tab w:val="left" w:pos="2413"/>
        </w:tabs>
        <w:spacing w:before="55"/>
        <w:ind w:left="2412" w:hanging="361"/>
        <w:rPr>
          <w:sz w:val="32"/>
        </w:rPr>
      </w:pPr>
      <w:r>
        <w:rPr>
          <w:sz w:val="32"/>
        </w:rPr>
        <w:t>aleukopenia (total count below</w:t>
      </w:r>
      <w:r>
        <w:rPr>
          <w:spacing w:val="-7"/>
          <w:sz w:val="32"/>
        </w:rPr>
        <w:t xml:space="preserve"> </w:t>
      </w:r>
      <w:r>
        <w:rPr>
          <w:sz w:val="32"/>
        </w:rPr>
        <w:t>4000/μL)</w:t>
      </w:r>
    </w:p>
    <w:p w:rsidR="00764A3B" w:rsidRDefault="00380BCA">
      <w:pPr>
        <w:pStyle w:val="ListParagraph"/>
        <w:numPr>
          <w:ilvl w:val="2"/>
          <w:numId w:val="6"/>
        </w:numPr>
        <w:tabs>
          <w:tab w:val="left" w:pos="2413"/>
        </w:tabs>
        <w:spacing w:before="54" w:line="276" w:lineRule="auto"/>
        <w:ind w:left="2412" w:right="139" w:hanging="361"/>
        <w:jc w:val="both"/>
        <w:rPr>
          <w:sz w:val="32"/>
        </w:rPr>
      </w:pPr>
      <w:r>
        <w:rPr>
          <w:sz w:val="32"/>
        </w:rPr>
        <w:t>with a greater absolute number of immature neutrophils than mature neutrophils (degenerative left</w:t>
      </w:r>
      <w:r>
        <w:rPr>
          <w:spacing w:val="-3"/>
          <w:sz w:val="32"/>
        </w:rPr>
        <w:t xml:space="preserve"> </w:t>
      </w:r>
      <w:r>
        <w:rPr>
          <w:sz w:val="32"/>
        </w:rPr>
        <w:t>shift)</w:t>
      </w:r>
    </w:p>
    <w:p w:rsidR="00764A3B" w:rsidRDefault="00380BCA">
      <w:pPr>
        <w:pStyle w:val="ListParagraph"/>
        <w:numPr>
          <w:ilvl w:val="1"/>
          <w:numId w:val="6"/>
        </w:numPr>
        <w:tabs>
          <w:tab w:val="left" w:pos="1615"/>
        </w:tabs>
        <w:spacing w:before="1"/>
        <w:ind w:firstLine="1154"/>
        <w:rPr>
          <w:sz w:val="32"/>
        </w:rPr>
      </w:pPr>
      <w:r>
        <w:rPr>
          <w:sz w:val="32"/>
        </w:rPr>
        <w:t>Plasma protein and fibrinogen</w:t>
      </w:r>
    </w:p>
    <w:p w:rsidR="00764A3B" w:rsidRDefault="00380BCA">
      <w:pPr>
        <w:pStyle w:val="ListParagraph"/>
        <w:numPr>
          <w:ilvl w:val="1"/>
          <w:numId w:val="6"/>
        </w:numPr>
        <w:tabs>
          <w:tab w:val="left" w:pos="1615"/>
        </w:tabs>
        <w:spacing w:before="54" w:line="408" w:lineRule="auto"/>
        <w:ind w:right="2293" w:firstLine="1154"/>
        <w:rPr>
          <w:sz w:val="32"/>
        </w:rPr>
      </w:pPr>
      <w:r>
        <w:rPr>
          <w:sz w:val="32"/>
        </w:rPr>
        <w:t>Abdominocentesis and peritoneal fluid Other diagnosis</w:t>
      </w:r>
      <w:r>
        <w:rPr>
          <w:spacing w:val="-1"/>
          <w:sz w:val="32"/>
        </w:rPr>
        <w:t xml:space="preserve"> </w:t>
      </w:r>
      <w:r>
        <w:rPr>
          <w:sz w:val="32"/>
        </w:rPr>
        <w:t>methods:</w:t>
      </w:r>
    </w:p>
    <w:p w:rsidR="00764A3B" w:rsidRDefault="00380BCA">
      <w:pPr>
        <w:pStyle w:val="ListParagraph"/>
        <w:numPr>
          <w:ilvl w:val="0"/>
          <w:numId w:val="5"/>
        </w:numPr>
        <w:tabs>
          <w:tab w:val="left" w:pos="821"/>
          <w:tab w:val="left" w:pos="1743"/>
          <w:tab w:val="left" w:pos="3220"/>
          <w:tab w:val="left" w:pos="4345"/>
          <w:tab w:val="left" w:pos="5584"/>
          <w:tab w:val="left" w:pos="6723"/>
          <w:tab w:val="left" w:pos="7773"/>
          <w:tab w:val="left" w:pos="8433"/>
        </w:tabs>
        <w:spacing w:line="276" w:lineRule="auto"/>
        <w:ind w:right="142"/>
        <w:rPr>
          <w:sz w:val="32"/>
        </w:rPr>
      </w:pPr>
      <w:r>
        <w:rPr>
          <w:sz w:val="32"/>
        </w:rPr>
        <w:t>metal</w:t>
      </w:r>
      <w:r>
        <w:rPr>
          <w:sz w:val="32"/>
        </w:rPr>
        <w:tab/>
        <w:t>detection:</w:t>
      </w:r>
      <w:r>
        <w:rPr>
          <w:sz w:val="32"/>
        </w:rPr>
        <w:tab/>
        <w:t>ferrous</w:t>
      </w:r>
      <w:r>
        <w:rPr>
          <w:sz w:val="32"/>
        </w:rPr>
        <w:tab/>
        <w:t>metallic</w:t>
      </w:r>
      <w:r>
        <w:rPr>
          <w:sz w:val="32"/>
        </w:rPr>
        <w:tab/>
        <w:t>foreign</w:t>
      </w:r>
      <w:r>
        <w:rPr>
          <w:sz w:val="32"/>
        </w:rPr>
        <w:tab/>
        <w:t>bodies</w:t>
      </w:r>
      <w:r>
        <w:rPr>
          <w:sz w:val="32"/>
        </w:rPr>
        <w:tab/>
        <w:t>can</w:t>
      </w:r>
      <w:r>
        <w:rPr>
          <w:sz w:val="32"/>
        </w:rPr>
        <w:tab/>
        <w:t>be detected with metal detectors</w:t>
      </w:r>
    </w:p>
    <w:p w:rsidR="00764A3B" w:rsidRDefault="00380BCA">
      <w:pPr>
        <w:pStyle w:val="ListParagraph"/>
        <w:numPr>
          <w:ilvl w:val="0"/>
          <w:numId w:val="5"/>
        </w:numPr>
        <w:tabs>
          <w:tab w:val="left" w:pos="821"/>
        </w:tabs>
        <w:spacing w:line="366" w:lineRule="exact"/>
        <w:rPr>
          <w:sz w:val="32"/>
        </w:rPr>
      </w:pPr>
      <w:r>
        <w:rPr>
          <w:sz w:val="32"/>
        </w:rPr>
        <w:t>laparoscopy radiography of cranial abdomen and</w:t>
      </w:r>
      <w:r>
        <w:rPr>
          <w:spacing w:val="-7"/>
          <w:sz w:val="32"/>
        </w:rPr>
        <w:t xml:space="preserve"> </w:t>
      </w:r>
      <w:r>
        <w:rPr>
          <w:sz w:val="32"/>
        </w:rPr>
        <w:t>reticulum</w:t>
      </w:r>
    </w:p>
    <w:p w:rsidR="00764A3B" w:rsidRDefault="00380BCA">
      <w:pPr>
        <w:pStyle w:val="ListParagraph"/>
        <w:numPr>
          <w:ilvl w:val="0"/>
          <w:numId w:val="5"/>
        </w:numPr>
        <w:tabs>
          <w:tab w:val="left" w:pos="821"/>
        </w:tabs>
        <w:spacing w:before="54" w:line="405" w:lineRule="auto"/>
        <w:ind w:left="100" w:right="3853" w:firstLine="360"/>
        <w:rPr>
          <w:sz w:val="32"/>
        </w:rPr>
      </w:pPr>
      <w:r>
        <w:rPr>
          <w:sz w:val="32"/>
        </w:rPr>
        <w:t>ultrasonography of the reticulum Necropsy</w:t>
      </w:r>
      <w:r>
        <w:rPr>
          <w:spacing w:val="-3"/>
          <w:sz w:val="32"/>
        </w:rPr>
        <w:t xml:space="preserve"> </w:t>
      </w:r>
      <w:r>
        <w:rPr>
          <w:sz w:val="32"/>
        </w:rPr>
        <w:t>findings:</w:t>
      </w:r>
    </w:p>
    <w:p w:rsidR="00764A3B" w:rsidRDefault="00380BCA">
      <w:pPr>
        <w:pStyle w:val="BodyText"/>
        <w:spacing w:before="2" w:line="276" w:lineRule="auto"/>
        <w:ind w:right="141"/>
        <w:jc w:val="both"/>
      </w:pPr>
      <w:r>
        <w:t>A. Localized traumatic reticuloperitonitis is characterized by varying degrees of locally extensive fibrinous adhesions between the cranioventral aspects of the reticulum and the ventral abdominal wall and the diaphragm</w:t>
      </w:r>
    </w:p>
    <w:p w:rsidR="00764A3B" w:rsidRDefault="00764A3B">
      <w:pPr>
        <w:spacing w:line="276" w:lineRule="auto"/>
        <w:jc w:val="both"/>
        <w:sectPr w:rsidR="00764A3B">
          <w:pgSz w:w="12240" w:h="15840"/>
          <w:pgMar w:top="1340" w:right="1660" w:bottom="1200" w:left="1700" w:header="749" w:footer="1002" w:gutter="0"/>
          <w:cols w:space="720"/>
        </w:sectPr>
      </w:pPr>
    </w:p>
    <w:p w:rsidR="00764A3B" w:rsidRDefault="00380BCA">
      <w:pPr>
        <w:pStyle w:val="BodyText"/>
        <w:spacing w:before="75"/>
        <w:ind w:left="100" w:firstLine="0"/>
      </w:pPr>
      <w:r>
        <w:lastRenderedPageBreak/>
        <w:t>Treatment</w:t>
      </w:r>
    </w:p>
    <w:p w:rsidR="00764A3B" w:rsidRDefault="00380BCA">
      <w:pPr>
        <w:pStyle w:val="ListParagraph"/>
        <w:numPr>
          <w:ilvl w:val="0"/>
          <w:numId w:val="4"/>
        </w:numPr>
        <w:tabs>
          <w:tab w:val="left" w:pos="821"/>
        </w:tabs>
        <w:spacing w:before="256"/>
        <w:rPr>
          <w:sz w:val="32"/>
        </w:rPr>
      </w:pPr>
      <w:r>
        <w:rPr>
          <w:sz w:val="32"/>
        </w:rPr>
        <w:t>Conservative medical</w:t>
      </w:r>
      <w:r>
        <w:rPr>
          <w:spacing w:val="-1"/>
          <w:sz w:val="32"/>
        </w:rPr>
        <w:t xml:space="preserve"> </w:t>
      </w:r>
      <w:r>
        <w:rPr>
          <w:sz w:val="32"/>
        </w:rPr>
        <w:t>therapy:</w:t>
      </w:r>
    </w:p>
    <w:p w:rsidR="00764A3B" w:rsidRDefault="00380BCA">
      <w:pPr>
        <w:pStyle w:val="BodyText"/>
        <w:spacing w:before="55" w:line="276" w:lineRule="auto"/>
        <w:ind w:right="379" w:firstLine="0"/>
      </w:pPr>
      <w:r>
        <w:t>Antimicrobials: Penicillin or broad-spectrum antimicrobials given parenterally daily for 3-5 days</w:t>
      </w:r>
    </w:p>
    <w:p w:rsidR="00764A3B" w:rsidRDefault="00380BCA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Rumenotomy</w:t>
      </w:r>
    </w:p>
    <w:p w:rsidR="00764A3B" w:rsidRDefault="00380BCA">
      <w:pPr>
        <w:pStyle w:val="ListParagraph"/>
        <w:numPr>
          <w:ilvl w:val="0"/>
          <w:numId w:val="4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Drainage of reticular</w:t>
      </w:r>
      <w:r>
        <w:rPr>
          <w:spacing w:val="-3"/>
          <w:sz w:val="32"/>
        </w:rPr>
        <w:t xml:space="preserve"> </w:t>
      </w:r>
      <w:r>
        <w:rPr>
          <w:sz w:val="32"/>
        </w:rPr>
        <w:t>abscesses</w:t>
      </w:r>
    </w:p>
    <w:p w:rsidR="00764A3B" w:rsidRDefault="00764A3B">
      <w:pPr>
        <w:pStyle w:val="BodyText"/>
        <w:ind w:left="0" w:firstLine="0"/>
        <w:rPr>
          <w:sz w:val="34"/>
        </w:rPr>
      </w:pPr>
    </w:p>
    <w:p w:rsidR="00764A3B" w:rsidRDefault="00764A3B">
      <w:pPr>
        <w:pStyle w:val="BodyText"/>
        <w:spacing w:before="4"/>
        <w:ind w:left="0" w:firstLine="0"/>
        <w:rPr>
          <w:sz w:val="42"/>
        </w:rPr>
      </w:pPr>
    </w:p>
    <w:p w:rsidR="00764A3B" w:rsidRDefault="00380BCA">
      <w:pPr>
        <w:pStyle w:val="BodyText"/>
        <w:ind w:left="100" w:firstLine="0"/>
      </w:pPr>
      <w:r>
        <w:t>VAGUS INDIGESTION:</w:t>
      </w:r>
    </w:p>
    <w:p w:rsidR="00764A3B" w:rsidRDefault="00380BCA">
      <w:pPr>
        <w:pStyle w:val="BodyText"/>
        <w:spacing w:before="256"/>
        <w:ind w:left="100" w:firstLine="0"/>
      </w:pPr>
      <w:r>
        <w:t>Etiology:</w:t>
      </w:r>
    </w:p>
    <w:p w:rsidR="00764A3B" w:rsidRDefault="00380BCA">
      <w:pPr>
        <w:pStyle w:val="ListParagraph"/>
        <w:numPr>
          <w:ilvl w:val="1"/>
          <w:numId w:val="4"/>
        </w:numPr>
        <w:tabs>
          <w:tab w:val="left" w:pos="821"/>
        </w:tabs>
        <w:spacing w:before="257"/>
        <w:rPr>
          <w:sz w:val="32"/>
        </w:rPr>
      </w:pPr>
      <w:r>
        <w:rPr>
          <w:sz w:val="32"/>
        </w:rPr>
        <w:t>complications of traumatic reticuloperitonitis:</w:t>
      </w:r>
    </w:p>
    <w:p w:rsidR="00764A3B" w:rsidRDefault="00380BCA">
      <w:pPr>
        <w:pStyle w:val="ListParagraph"/>
        <w:numPr>
          <w:ilvl w:val="2"/>
          <w:numId w:val="4"/>
        </w:numPr>
        <w:tabs>
          <w:tab w:val="left" w:pos="1615"/>
        </w:tabs>
        <w:spacing w:before="54"/>
        <w:ind w:firstLine="1154"/>
        <w:rPr>
          <w:sz w:val="32"/>
        </w:rPr>
      </w:pPr>
      <w:r>
        <w:rPr>
          <w:sz w:val="32"/>
        </w:rPr>
        <w:t>vagal nerve</w:t>
      </w:r>
      <w:r>
        <w:rPr>
          <w:spacing w:val="-3"/>
          <w:sz w:val="32"/>
        </w:rPr>
        <w:t xml:space="preserve"> </w:t>
      </w:r>
      <w:r>
        <w:rPr>
          <w:sz w:val="32"/>
        </w:rPr>
        <w:t>injury</w:t>
      </w:r>
    </w:p>
    <w:p w:rsidR="00764A3B" w:rsidRDefault="00380BCA">
      <w:pPr>
        <w:pStyle w:val="ListParagraph"/>
        <w:numPr>
          <w:ilvl w:val="2"/>
          <w:numId w:val="4"/>
        </w:numPr>
        <w:tabs>
          <w:tab w:val="left" w:pos="1615"/>
        </w:tabs>
        <w:spacing w:before="54" w:line="408" w:lineRule="auto"/>
        <w:ind w:right="4855" w:firstLine="1154"/>
        <w:rPr>
          <w:sz w:val="32"/>
        </w:rPr>
      </w:pPr>
      <w:r>
        <w:rPr>
          <w:sz w:val="32"/>
        </w:rPr>
        <w:t>reticular adhesions Pathogenesis: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line="363" w:lineRule="exact"/>
        <w:rPr>
          <w:sz w:val="32"/>
        </w:rPr>
      </w:pPr>
      <w:r>
        <w:rPr>
          <w:sz w:val="32"/>
        </w:rPr>
        <w:t>dorsal vagal nerve</w:t>
      </w:r>
      <w:r>
        <w:rPr>
          <w:spacing w:val="-1"/>
          <w:sz w:val="32"/>
        </w:rPr>
        <w:t xml:space="preserve"> </w:t>
      </w:r>
      <w:r>
        <w:rPr>
          <w:sz w:val="32"/>
        </w:rPr>
        <w:t>injury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rPr>
          <w:sz w:val="32"/>
        </w:rPr>
      </w:pPr>
      <w:r>
        <w:rPr>
          <w:sz w:val="32"/>
        </w:rPr>
        <w:t>achalasia of the reticulo-omasal orifice (anterior</w:t>
      </w:r>
      <w:r>
        <w:rPr>
          <w:spacing w:val="-8"/>
          <w:sz w:val="32"/>
        </w:rPr>
        <w:t xml:space="preserve"> </w:t>
      </w:r>
      <w:r>
        <w:rPr>
          <w:sz w:val="32"/>
        </w:rPr>
        <w:t>stenosis)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before="55" w:line="276" w:lineRule="auto"/>
        <w:ind w:right="137"/>
        <w:rPr>
          <w:sz w:val="32"/>
        </w:rPr>
      </w:pPr>
      <w:r>
        <w:rPr>
          <w:sz w:val="32"/>
        </w:rPr>
        <w:t>inhibited the passage of ingesta from the reticulorumen into the omasum and</w:t>
      </w:r>
      <w:r>
        <w:rPr>
          <w:spacing w:val="-4"/>
          <w:sz w:val="32"/>
        </w:rPr>
        <w:t xml:space="preserve"> </w:t>
      </w:r>
      <w:r>
        <w:rPr>
          <w:sz w:val="32"/>
        </w:rPr>
        <w:t>abomasum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32"/>
        </w:rPr>
      </w:pPr>
      <w:r>
        <w:rPr>
          <w:sz w:val="32"/>
        </w:rPr>
        <w:t>distension of the rumen with pasty and/or frothy</w:t>
      </w:r>
      <w:r>
        <w:rPr>
          <w:spacing w:val="-9"/>
          <w:sz w:val="32"/>
        </w:rPr>
        <w:t xml:space="preserve"> </w:t>
      </w:r>
      <w:r>
        <w:rPr>
          <w:sz w:val="32"/>
        </w:rPr>
        <w:t>contents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before="54" w:line="276" w:lineRule="auto"/>
        <w:ind w:right="137"/>
        <w:jc w:val="both"/>
        <w:rPr>
          <w:sz w:val="32"/>
        </w:rPr>
      </w:pPr>
      <w:r>
        <w:rPr>
          <w:sz w:val="32"/>
        </w:rPr>
        <w:t>injury of the pyloric branch of the ventral vagus nerve resulted in achalasia of the pylorus (posterior stenosis) and inhibited the flow of ingesta from the abomasum resulting in abomasal</w:t>
      </w:r>
      <w:r>
        <w:rPr>
          <w:spacing w:val="-2"/>
          <w:sz w:val="32"/>
        </w:rPr>
        <w:t xml:space="preserve"> </w:t>
      </w:r>
      <w:r>
        <w:rPr>
          <w:sz w:val="32"/>
        </w:rPr>
        <w:t>impaction</w:t>
      </w:r>
    </w:p>
    <w:p w:rsidR="00764A3B" w:rsidRDefault="00380BCA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144"/>
        <w:rPr>
          <w:sz w:val="32"/>
        </w:rPr>
      </w:pPr>
      <w:r>
        <w:rPr>
          <w:sz w:val="32"/>
        </w:rPr>
        <w:t>in reticular adhesions a mechanical impairment of reticular motility and esophageal groove</w:t>
      </w:r>
      <w:r>
        <w:rPr>
          <w:spacing w:val="-3"/>
          <w:sz w:val="32"/>
        </w:rPr>
        <w:t xml:space="preserve"> </w:t>
      </w:r>
      <w:r>
        <w:rPr>
          <w:sz w:val="32"/>
        </w:rPr>
        <w:t>dysfunction</w:t>
      </w:r>
    </w:p>
    <w:p w:rsidR="00764A3B" w:rsidRDefault="00380BCA">
      <w:pPr>
        <w:pStyle w:val="BodyText"/>
        <w:spacing w:before="200"/>
        <w:ind w:left="100" w:firstLine="0"/>
      </w:pPr>
      <w:r>
        <w:t>Clinical Findings: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256"/>
        <w:rPr>
          <w:sz w:val="32"/>
        </w:rPr>
      </w:pPr>
      <w:r>
        <w:rPr>
          <w:sz w:val="32"/>
        </w:rPr>
        <w:t>Inappetence for several days or complete</w:t>
      </w:r>
      <w:r>
        <w:rPr>
          <w:spacing w:val="-5"/>
          <w:sz w:val="32"/>
        </w:rPr>
        <w:t xml:space="preserve"> </w:t>
      </w:r>
      <w:r>
        <w:rPr>
          <w:sz w:val="32"/>
        </w:rPr>
        <w:t>anorexia</w:t>
      </w:r>
    </w:p>
    <w:p w:rsidR="00764A3B" w:rsidRDefault="00764A3B">
      <w:pPr>
        <w:rPr>
          <w:sz w:val="32"/>
        </w:rPr>
        <w:sectPr w:rsidR="00764A3B">
          <w:pgSz w:w="12240" w:h="15840"/>
          <w:pgMar w:top="1340" w:right="1660" w:bottom="1200" w:left="1700" w:header="749" w:footer="1002" w:gutter="0"/>
          <w:cols w:space="720"/>
        </w:sectPr>
      </w:pP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75"/>
        <w:rPr>
          <w:sz w:val="32"/>
        </w:rPr>
      </w:pPr>
      <w:r>
        <w:rPr>
          <w:sz w:val="32"/>
        </w:rPr>
        <w:lastRenderedPageBreak/>
        <w:t>loss of body</w:t>
      </w:r>
      <w:r>
        <w:rPr>
          <w:spacing w:val="-2"/>
          <w:sz w:val="32"/>
        </w:rPr>
        <w:t xml:space="preserve"> </w:t>
      </w:r>
      <w:r>
        <w:rPr>
          <w:sz w:val="32"/>
        </w:rPr>
        <w:t>weight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55"/>
        <w:rPr>
          <w:sz w:val="32"/>
        </w:rPr>
      </w:pPr>
      <w:r>
        <w:rPr>
          <w:sz w:val="32"/>
        </w:rPr>
        <w:t>An enlarged 'papple' –shaped</w:t>
      </w:r>
      <w:r>
        <w:rPr>
          <w:spacing w:val="-1"/>
          <w:sz w:val="32"/>
        </w:rPr>
        <w:t xml:space="preserve"> </w:t>
      </w:r>
      <w:r>
        <w:rPr>
          <w:sz w:val="32"/>
        </w:rPr>
        <w:t>abdomen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  <w:tab w:val="left" w:pos="2690"/>
          <w:tab w:val="left" w:pos="3429"/>
          <w:tab w:val="left" w:pos="5050"/>
          <w:tab w:val="left" w:pos="6637"/>
          <w:tab w:val="left" w:pos="7481"/>
        </w:tabs>
        <w:spacing w:before="57" w:line="276" w:lineRule="auto"/>
        <w:ind w:right="137"/>
        <w:rPr>
          <w:sz w:val="32"/>
        </w:rPr>
      </w:pPr>
      <w:r>
        <w:rPr>
          <w:sz w:val="32"/>
        </w:rPr>
        <w:t>Dehydration</w:t>
      </w:r>
      <w:r>
        <w:rPr>
          <w:sz w:val="32"/>
        </w:rPr>
        <w:tab/>
        <w:t>and</w:t>
      </w:r>
      <w:r>
        <w:rPr>
          <w:sz w:val="32"/>
        </w:rPr>
        <w:tab/>
        <w:t>electrolyte</w:t>
      </w:r>
      <w:r>
        <w:rPr>
          <w:sz w:val="32"/>
        </w:rPr>
        <w:tab/>
        <w:t>imbalance</w:t>
      </w:r>
      <w:r>
        <w:rPr>
          <w:sz w:val="32"/>
        </w:rPr>
        <w:tab/>
        <w:t>with</w:t>
      </w:r>
      <w:r>
        <w:rPr>
          <w:sz w:val="32"/>
        </w:rPr>
        <w:tab/>
      </w:r>
      <w:r>
        <w:rPr>
          <w:w w:val="95"/>
          <w:sz w:val="32"/>
        </w:rPr>
        <w:t xml:space="preserve">metabolic </w:t>
      </w:r>
      <w:r>
        <w:rPr>
          <w:sz w:val="32"/>
        </w:rPr>
        <w:t>alkalosis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line="366" w:lineRule="exact"/>
        <w:rPr>
          <w:sz w:val="32"/>
        </w:rPr>
      </w:pPr>
      <w:r>
        <w:rPr>
          <w:sz w:val="32"/>
        </w:rPr>
        <w:t>Enlarged rumen palpable on rectal</w:t>
      </w:r>
      <w:r>
        <w:rPr>
          <w:spacing w:val="1"/>
          <w:sz w:val="32"/>
        </w:rPr>
        <w:t xml:space="preserve"> </w:t>
      </w:r>
      <w:r>
        <w:rPr>
          <w:sz w:val="32"/>
        </w:rPr>
        <w:t>examination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56"/>
        <w:rPr>
          <w:sz w:val="32"/>
        </w:rPr>
      </w:pPr>
      <w:r>
        <w:rPr>
          <w:sz w:val="32"/>
        </w:rPr>
        <w:t>Scant feces with an increase in undigested</w:t>
      </w:r>
      <w:r>
        <w:rPr>
          <w:spacing w:val="-6"/>
          <w:sz w:val="32"/>
        </w:rPr>
        <w:t xml:space="preserve"> </w:t>
      </w:r>
      <w:r>
        <w:rPr>
          <w:sz w:val="32"/>
        </w:rPr>
        <w:t>particles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55"/>
        <w:rPr>
          <w:sz w:val="32"/>
        </w:rPr>
      </w:pPr>
      <w:r>
        <w:rPr>
          <w:sz w:val="32"/>
        </w:rPr>
        <w:t>Vital signs within the normal</w:t>
      </w:r>
      <w:r>
        <w:rPr>
          <w:spacing w:val="-4"/>
          <w:sz w:val="32"/>
        </w:rPr>
        <w:t xml:space="preserve"> </w:t>
      </w:r>
      <w:r>
        <w:rPr>
          <w:sz w:val="32"/>
        </w:rPr>
        <w:t>range</w:t>
      </w:r>
    </w:p>
    <w:p w:rsidR="00764A3B" w:rsidRDefault="00380BCA">
      <w:pPr>
        <w:pStyle w:val="ListParagraph"/>
        <w:numPr>
          <w:ilvl w:val="0"/>
          <w:numId w:val="2"/>
        </w:numPr>
        <w:tabs>
          <w:tab w:val="left" w:pos="821"/>
        </w:tabs>
        <w:spacing w:before="55" w:line="408" w:lineRule="auto"/>
        <w:ind w:left="100" w:right="3841" w:firstLine="360"/>
        <w:rPr>
          <w:sz w:val="32"/>
        </w:rPr>
      </w:pPr>
      <w:r>
        <w:rPr>
          <w:sz w:val="32"/>
        </w:rPr>
        <w:t>Inadequate response to</w:t>
      </w:r>
      <w:r>
        <w:rPr>
          <w:spacing w:val="-14"/>
          <w:sz w:val="32"/>
        </w:rPr>
        <w:t xml:space="preserve"> </w:t>
      </w:r>
      <w:r>
        <w:rPr>
          <w:sz w:val="32"/>
        </w:rPr>
        <w:t>treatment Treatment:</w:t>
      </w:r>
    </w:p>
    <w:p w:rsidR="00764A3B" w:rsidRDefault="00380BCA">
      <w:pPr>
        <w:pStyle w:val="ListParagraph"/>
        <w:numPr>
          <w:ilvl w:val="0"/>
          <w:numId w:val="1"/>
        </w:numPr>
        <w:tabs>
          <w:tab w:val="left" w:pos="821"/>
        </w:tabs>
        <w:spacing w:line="365" w:lineRule="exact"/>
        <w:rPr>
          <w:sz w:val="32"/>
        </w:rPr>
      </w:pPr>
      <w:r>
        <w:rPr>
          <w:sz w:val="32"/>
        </w:rPr>
        <w:t>Rumen</w:t>
      </w:r>
      <w:r>
        <w:rPr>
          <w:spacing w:val="-1"/>
          <w:sz w:val="32"/>
        </w:rPr>
        <w:t xml:space="preserve"> </w:t>
      </w:r>
      <w:r>
        <w:rPr>
          <w:sz w:val="32"/>
        </w:rPr>
        <w:t>lavage</w:t>
      </w:r>
    </w:p>
    <w:p w:rsidR="00764A3B" w:rsidRDefault="00380BCA">
      <w:pPr>
        <w:pStyle w:val="ListParagraph"/>
        <w:numPr>
          <w:ilvl w:val="0"/>
          <w:numId w:val="1"/>
        </w:numPr>
        <w:tabs>
          <w:tab w:val="left" w:pos="821"/>
        </w:tabs>
        <w:spacing w:before="54"/>
        <w:rPr>
          <w:sz w:val="32"/>
        </w:rPr>
      </w:pPr>
      <w:r>
        <w:rPr>
          <w:sz w:val="32"/>
        </w:rPr>
        <w:t>Rumenotomy</w:t>
      </w:r>
    </w:p>
    <w:sectPr w:rsidR="00764A3B" w:rsidSect="00764A3B">
      <w:pgSz w:w="12240" w:h="15840"/>
      <w:pgMar w:top="1340" w:right="1660" w:bottom="1200" w:left="1700" w:header="749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E2" w:rsidRDefault="007E49E2" w:rsidP="00764A3B">
      <w:r>
        <w:separator/>
      </w:r>
    </w:p>
  </w:endnote>
  <w:endnote w:type="continuationSeparator" w:id="1">
    <w:p w:rsidR="007E49E2" w:rsidRDefault="007E49E2" w:rsidP="0076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F" w:rsidRDefault="006A03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3B" w:rsidRDefault="001A085F">
    <w:pPr>
      <w:pStyle w:val="BodyText"/>
      <w:spacing w:line="14" w:lineRule="auto"/>
      <w:ind w:left="0" w:firstLine="0"/>
      <w:rPr>
        <w:sz w:val="20"/>
      </w:rPr>
    </w:pPr>
    <w:r w:rsidRPr="001A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9pt;width:9.6pt;height:13.05pt;z-index:-5128;mso-position-horizontal-relative:page;mso-position-vertical-relative:page" filled="f" stroked="f">
          <v:textbox inset="0,0,0,0">
            <w:txbxContent>
              <w:p w:rsidR="00764A3B" w:rsidRDefault="001A085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80B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12F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F" w:rsidRDefault="006A0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E2" w:rsidRDefault="007E49E2" w:rsidP="00764A3B">
      <w:r>
        <w:separator/>
      </w:r>
    </w:p>
  </w:footnote>
  <w:footnote w:type="continuationSeparator" w:id="1">
    <w:p w:rsidR="007E49E2" w:rsidRDefault="007E49E2" w:rsidP="0076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F" w:rsidRDefault="006A0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3B" w:rsidRDefault="001A085F">
    <w:pPr>
      <w:pStyle w:val="BodyText"/>
      <w:spacing w:line="14" w:lineRule="auto"/>
      <w:ind w:left="0" w:firstLine="0"/>
      <w:rPr>
        <w:sz w:val="20"/>
      </w:rPr>
    </w:pPr>
    <w:r w:rsidRPr="001A08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36.45pt;width:79.8pt;height:13.05pt;z-index:-5224;mso-position-horizontal-relative:page;mso-position-vertical-relative:page" filled="f" stroked="f">
          <v:textbox inset="0,0,0,0">
            <w:txbxContent>
              <w:p w:rsidR="00764A3B" w:rsidRDefault="00380BC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Medicine Lecture</w:t>
                </w:r>
              </w:p>
            </w:txbxContent>
          </v:textbox>
          <w10:wrap anchorx="page" anchory="page"/>
        </v:shape>
      </w:pict>
    </w:r>
    <w:r w:rsidRPr="001A085F">
      <w:pict>
        <v:shape id="_x0000_s1028" type="#_x0000_t202" style="position:absolute;margin-left:221.35pt;margin-top:36.45pt;width:39.6pt;height:13.05pt;z-index:-5200;mso-position-horizontal-relative:page;mso-position-vertical-relative:page" filled="f" stroked="f">
          <v:textbox inset="0,0,0,0">
            <w:txbxContent>
              <w:p w:rsidR="00764A3B" w:rsidRDefault="00380BC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4th Year</w:t>
                </w:r>
              </w:p>
            </w:txbxContent>
          </v:textbox>
          <w10:wrap anchorx="page" anchory="page"/>
        </v:shape>
      </w:pict>
    </w:r>
    <w:r w:rsidRPr="001A085F">
      <w:pict>
        <v:shape id="_x0000_s1027" type="#_x0000_t202" style="position:absolute;margin-left:311.15pt;margin-top:36.45pt;width:53.35pt;height:13.05pt;z-index:-5176;mso-position-horizontal-relative:page;mso-position-vertical-relative:page" filled="f" stroked="f">
          <v:textbox inset="0,0,0,0">
            <w:txbxContent>
              <w:p w:rsidR="00764A3B" w:rsidRDefault="006A034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1A085F">
      <w:pict>
        <v:shape id="_x0000_s1026" type="#_x0000_t202" style="position:absolute;margin-left:419.6pt;margin-top:36.45pt;width:91.4pt;height:13.05pt;z-index:-5152;mso-position-horizontal-relative:page;mso-position-vertical-relative:page" filled="f" stroked="f">
          <v:textbox inset="0,0,0,0">
            <w:txbxContent>
              <w:p w:rsidR="00764A3B" w:rsidRDefault="00380BCA" w:rsidP="006A034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Dr.</w:t>
                </w:r>
                <w:r w:rsidR="006A034F">
                  <w:rPr>
                    <w:rFonts w:ascii="Calibri"/>
                  </w:rPr>
                  <w:t>Alaa kamil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4F" w:rsidRDefault="006A0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79"/>
    <w:multiLevelType w:val="hybridMultilevel"/>
    <w:tmpl w:val="6F6CED4E"/>
    <w:lvl w:ilvl="0" w:tplc="71067A8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EF6A54B2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9552E9FC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EC50551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72803C6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A2D68AD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0944D2E0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5D4495DC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83B05D16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1">
    <w:nsid w:val="1FD971B2"/>
    <w:multiLevelType w:val="hybridMultilevel"/>
    <w:tmpl w:val="FDE265D2"/>
    <w:lvl w:ilvl="0" w:tplc="AC20E40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A3740AA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8F36A564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5B94B9C0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B09269A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D106766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E9D897F2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92D20138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3A9E089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2">
    <w:nsid w:val="26525E27"/>
    <w:multiLevelType w:val="hybridMultilevel"/>
    <w:tmpl w:val="8BF8101E"/>
    <w:lvl w:ilvl="0" w:tplc="B37C1F9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3C607AD6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F9A251B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B1FEEFD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2E889122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41F601E2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9B4AEDF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35AA1CD2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24483C88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3">
    <w:nsid w:val="3C776F81"/>
    <w:multiLevelType w:val="hybridMultilevel"/>
    <w:tmpl w:val="03EE04F4"/>
    <w:lvl w:ilvl="0" w:tplc="62BEB13A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en-US" w:bidi="en-US"/>
      </w:rPr>
    </w:lvl>
    <w:lvl w:ilvl="1" w:tplc="786EB44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2" w:tplc="B9CEA3DC">
      <w:start w:val="1"/>
      <w:numFmt w:val="decimal"/>
      <w:lvlText w:val="%3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3" w:tplc="DA24385C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en-US"/>
      </w:rPr>
    </w:lvl>
    <w:lvl w:ilvl="4" w:tplc="822C5C5E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5" w:tplc="059CB16C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en-US"/>
      </w:rPr>
    </w:lvl>
    <w:lvl w:ilvl="6" w:tplc="1DC473B6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en-US"/>
      </w:rPr>
    </w:lvl>
    <w:lvl w:ilvl="7" w:tplc="72C45C50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en-US"/>
      </w:rPr>
    </w:lvl>
    <w:lvl w:ilvl="8" w:tplc="EAF65D14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en-US"/>
      </w:rPr>
    </w:lvl>
  </w:abstractNum>
  <w:abstractNum w:abstractNumId="4">
    <w:nsid w:val="3CE4275A"/>
    <w:multiLevelType w:val="hybridMultilevel"/>
    <w:tmpl w:val="BF18B012"/>
    <w:lvl w:ilvl="0" w:tplc="3940940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BE507694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709457F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897CDF9A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C1DCBD26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DAD81BB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E4DC75D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C8945EC0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499089BA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5">
    <w:nsid w:val="42A91B14"/>
    <w:multiLevelType w:val="hybridMultilevel"/>
    <w:tmpl w:val="177073C6"/>
    <w:lvl w:ilvl="0" w:tplc="F0F22D2C">
      <w:start w:val="2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43E40ADC">
      <w:start w:val="1"/>
      <w:numFmt w:val="decimal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2" w:tplc="1CEE5E7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3" w:tplc="FD5A1D14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4" w:tplc="ED7EC33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en-US"/>
      </w:rPr>
    </w:lvl>
    <w:lvl w:ilvl="5" w:tplc="13DADAC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6" w:tplc="FD844820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7" w:tplc="7648366A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en-US"/>
      </w:rPr>
    </w:lvl>
    <w:lvl w:ilvl="8" w:tplc="F7EE2C58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</w:abstractNum>
  <w:abstractNum w:abstractNumId="6">
    <w:nsid w:val="45A74E74"/>
    <w:multiLevelType w:val="hybridMultilevel"/>
    <w:tmpl w:val="DA1E510A"/>
    <w:lvl w:ilvl="0" w:tplc="60FC02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0C14A6E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DD020E98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1F824958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431C0A2C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9196B34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A9AE1736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FA10F1C4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9BC8C17A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7">
    <w:nsid w:val="493D5F5B"/>
    <w:multiLevelType w:val="hybridMultilevel"/>
    <w:tmpl w:val="0374C382"/>
    <w:lvl w:ilvl="0" w:tplc="CADE33C2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E7FE937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05B0AF0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390A95A2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F228A70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3E92E97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F13ACE5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D6F40678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7994A5E2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8">
    <w:nsid w:val="49760A00"/>
    <w:multiLevelType w:val="hybridMultilevel"/>
    <w:tmpl w:val="C7E419EC"/>
    <w:lvl w:ilvl="0" w:tplc="BE2C14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F84C19C2">
      <w:start w:val="1"/>
      <w:numFmt w:val="upperLetter"/>
      <w:lvlText w:val="%2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en-US" w:bidi="en-US"/>
      </w:rPr>
    </w:lvl>
    <w:lvl w:ilvl="2" w:tplc="87DCA112">
      <w:start w:val="1"/>
      <w:numFmt w:val="decimal"/>
      <w:lvlText w:val="%3."/>
      <w:lvlJc w:val="left"/>
      <w:pPr>
        <w:ind w:left="1614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3" w:tplc="C096DAF0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4" w:tplc="DE90B3A6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5" w:tplc="89A4EF8A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6" w:tplc="038E9EBC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en-US"/>
      </w:rPr>
    </w:lvl>
    <w:lvl w:ilvl="7" w:tplc="32F2BDCA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en-US"/>
      </w:rPr>
    </w:lvl>
    <w:lvl w:ilvl="8" w:tplc="8DDE182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</w:abstractNum>
  <w:abstractNum w:abstractNumId="9">
    <w:nsid w:val="5C223B1E"/>
    <w:multiLevelType w:val="hybridMultilevel"/>
    <w:tmpl w:val="445E4B48"/>
    <w:lvl w:ilvl="0" w:tplc="82043B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F7E21A8C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CB647436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A33481DE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B7629FFA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ABD0F7E8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37D2DE18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D19E4092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97F62826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abstractNum w:abstractNumId="10">
    <w:nsid w:val="73780E1D"/>
    <w:multiLevelType w:val="hybridMultilevel"/>
    <w:tmpl w:val="E3B06B7C"/>
    <w:lvl w:ilvl="0" w:tplc="DAC8C746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1" w:tplc="7084E0F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en-US"/>
      </w:rPr>
    </w:lvl>
    <w:lvl w:ilvl="2" w:tplc="1BEEF1BE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3" w:tplc="9B0C9074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en-US"/>
      </w:rPr>
    </w:lvl>
    <w:lvl w:ilvl="4" w:tplc="466C103E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9CE4495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6" w:tplc="A7FA90CE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  <w:lvl w:ilvl="7" w:tplc="A9524CA8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en-US"/>
      </w:rPr>
    </w:lvl>
    <w:lvl w:ilvl="8" w:tplc="26C2674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4A3B"/>
    <w:rsid w:val="001A085F"/>
    <w:rsid w:val="00380BCA"/>
    <w:rsid w:val="006A034F"/>
    <w:rsid w:val="00764A3B"/>
    <w:rsid w:val="007E49E2"/>
    <w:rsid w:val="00CB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A3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A3B"/>
    <w:pPr>
      <w:ind w:left="820" w:hanging="3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64A3B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764A3B"/>
  </w:style>
  <w:style w:type="paragraph" w:styleId="Header">
    <w:name w:val="header"/>
    <w:basedOn w:val="Normal"/>
    <w:link w:val="HeaderChar"/>
    <w:uiPriority w:val="99"/>
    <w:semiHidden/>
    <w:unhideWhenUsed/>
    <w:rsid w:val="006A03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4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A03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34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4363</Characters>
  <Application>Microsoft Office Word</Application>
  <DocSecurity>0</DocSecurity>
  <Lines>36</Lines>
  <Paragraphs>10</Paragraphs>
  <ScaleCrop>false</ScaleCrop>
  <Company>Naim Al Hussaini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2014</dc:creator>
  <cp:lastModifiedBy>INTERNET</cp:lastModifiedBy>
  <cp:revision>5</cp:revision>
  <dcterms:created xsi:type="dcterms:W3CDTF">2017-12-04T01:09:00Z</dcterms:created>
  <dcterms:modified xsi:type="dcterms:W3CDTF">2017-12-04T02:38:00Z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